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FD" w:rsidRPr="00661162" w:rsidRDefault="00E96B5D" w:rsidP="00D35DE4">
      <w:pPr>
        <w:pStyle w:val="Overskrift1"/>
      </w:pPr>
      <w:bookmarkStart w:id="0" w:name="_GoBack"/>
      <w:bookmarkEnd w:id="0"/>
      <w:r>
        <w:t>Vejledning til driftsgrensanalyser for økologisk svineproduktion</w:t>
      </w:r>
    </w:p>
    <w:p w:rsidR="00AF14FD" w:rsidRDefault="00D35DE4" w:rsidP="00AF14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0557891" wp14:editId="79FF45D6">
            <wp:simplePos x="0" y="0"/>
            <wp:positionH relativeFrom="column">
              <wp:posOffset>4653915</wp:posOffset>
            </wp:positionH>
            <wp:positionV relativeFrom="paragraph">
              <wp:posOffset>53340</wp:posOffset>
            </wp:positionV>
            <wp:extent cx="1414780" cy="1905635"/>
            <wp:effectExtent l="0" t="0" r="0" b="0"/>
            <wp:wrapSquare wrapText="bothSides"/>
            <wp:docPr id="1" name="Billed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Denne vejledning er målrettet brugere</w:t>
      </w:r>
      <w:r w:rsidR="00FE27FB">
        <w:t>,</w:t>
      </w:r>
      <w:r>
        <w:t xml:space="preserve"> der skal udarbejde driftsgren</w:t>
      </w:r>
      <w:r>
        <w:t>s</w:t>
      </w:r>
      <w:r>
        <w:t>analyser for bedrifter med økologisk svineproduktion. Vejledningen er l</w:t>
      </w:r>
      <w:r>
        <w:t>a</w:t>
      </w:r>
      <w:r>
        <w:t>vet som et supplement til den overordnede vejledning til driftsgrensan</w:t>
      </w:r>
      <w:r>
        <w:t>a</w:t>
      </w:r>
      <w:r>
        <w:t>lyser og Ø90 Benchmarking</w:t>
      </w:r>
      <w:r w:rsidR="00FE27FB">
        <w:t>,</w:t>
      </w:r>
      <w:r>
        <w:t xml:space="preserve"> der er vist til højre og kan hentes på dette </w:t>
      </w:r>
      <w:hyperlink r:id="rId11" w:history="1">
        <w:r w:rsidRPr="00D35DE4">
          <w:rPr>
            <w:rStyle w:val="Hyperlink"/>
          </w:rPr>
          <w:t>link</w:t>
        </w:r>
      </w:hyperlink>
      <w:r>
        <w:t>.</w:t>
      </w:r>
      <w:r w:rsidR="00AF14FD" w:rsidRPr="00235395">
        <w:t xml:space="preserve"> </w:t>
      </w:r>
    </w:p>
    <w:p w:rsidR="00BF7272" w:rsidRDefault="00BF7272" w:rsidP="00AF14FD">
      <w:r>
        <w:t>Der henvises igennem vejledningen til ”Grundlag for den beregnede n</w:t>
      </w:r>
      <w:r>
        <w:t>o</w:t>
      </w:r>
      <w:r>
        <w:t>tering for økologiske smågrise”</w:t>
      </w:r>
      <w:r w:rsidR="00FE27FB">
        <w:t>,</w:t>
      </w:r>
      <w:r>
        <w:t xml:space="preserve"> som er tilgængelig på </w:t>
      </w:r>
      <w:hyperlink r:id="rId12" w:history="1">
        <w:proofErr w:type="spellStart"/>
        <w:r w:rsidRPr="00BF7272">
          <w:rPr>
            <w:rStyle w:val="Hyperlink"/>
          </w:rPr>
          <w:t>VSP’s</w:t>
        </w:r>
        <w:proofErr w:type="spellEnd"/>
        <w:r w:rsidRPr="00BF7272">
          <w:rPr>
            <w:rStyle w:val="Hyperlink"/>
          </w:rPr>
          <w:t xml:space="preserve"> hjemm</w:t>
        </w:r>
        <w:r w:rsidRPr="00BF7272">
          <w:rPr>
            <w:rStyle w:val="Hyperlink"/>
          </w:rPr>
          <w:t>e</w:t>
        </w:r>
        <w:r w:rsidRPr="00BF7272">
          <w:rPr>
            <w:rStyle w:val="Hyperlink"/>
          </w:rPr>
          <w:t>side</w:t>
        </w:r>
      </w:hyperlink>
      <w:r>
        <w:t>.</w:t>
      </w:r>
    </w:p>
    <w:p w:rsidR="00D35DE4" w:rsidRDefault="00D35DE4" w:rsidP="00AF14FD"/>
    <w:p w:rsidR="00476267" w:rsidRDefault="00476267" w:rsidP="00AF14FD">
      <w:r>
        <w:t>Vejledningen til fordelinger er udelukkende tænkt som et supplement til den dialog</w:t>
      </w:r>
      <w:r w:rsidR="00DD16E2">
        <w:t>,</w:t>
      </w:r>
      <w:r>
        <w:t xml:space="preserve"> I som rådgivere bør have med landmanden om fordelingen af omkostninger mellem driftsgrene. De angivne forslag til fordelinger bør således aldri</w:t>
      </w:r>
      <w:r w:rsidR="00BF7272">
        <w:t xml:space="preserve">g erstatte reel </w:t>
      </w:r>
      <w:r>
        <w:t>viden fra landmanden om de faktiske forhold på bedriften.</w:t>
      </w:r>
    </w:p>
    <w:p w:rsidR="00CB7A3D" w:rsidRDefault="00CB7A3D" w:rsidP="00D35DE4">
      <w:pPr>
        <w:pStyle w:val="Overskrift2"/>
      </w:pPr>
      <w:r>
        <w:t>Valg af standardkolonner</w:t>
      </w:r>
    </w:p>
    <w:p w:rsidR="003E1953" w:rsidRPr="00CB7A3D" w:rsidRDefault="00D35DE4" w:rsidP="00CB7A3D">
      <w:pPr>
        <w:pStyle w:val="Overskrift3"/>
      </w:pPr>
      <w:r w:rsidRPr="00CB7A3D">
        <w:t>Opdeling af produktionen</w:t>
      </w:r>
      <w:r w:rsidR="000A5441" w:rsidRPr="00CB7A3D">
        <w:t xml:space="preserve"> i </w:t>
      </w:r>
      <w:proofErr w:type="spellStart"/>
      <w:r w:rsidR="000A5441" w:rsidRPr="00CB7A3D">
        <w:t>sohold</w:t>
      </w:r>
      <w:proofErr w:type="spellEnd"/>
      <w:r w:rsidR="000A5441" w:rsidRPr="00CB7A3D">
        <w:t xml:space="preserve"> og slagtesvin</w:t>
      </w:r>
    </w:p>
    <w:p w:rsidR="00D35DE4" w:rsidRDefault="00D35DE4" w:rsidP="00D35DE4">
      <w:r>
        <w:t xml:space="preserve">Den økologiske svineproduktion adskiller </w:t>
      </w:r>
      <w:r w:rsidR="00834C41">
        <w:t>sig fra den konventionelle på en række punkter. Den første væsentlige forskel er</w:t>
      </w:r>
      <w:r w:rsidR="00FE27FB">
        <w:t>,</w:t>
      </w:r>
      <w:r w:rsidR="00834C41">
        <w:t xml:space="preserve"> at søerne går på friland, og at smågrisene fravænnes ved 7 uger, hvor de vejer 12-14 kg.</w:t>
      </w:r>
    </w:p>
    <w:p w:rsidR="00834C41" w:rsidRDefault="00834C41" w:rsidP="00D35DE4">
      <w:r>
        <w:t>Efter fravænning kommer smågrisene på stald.</w:t>
      </w:r>
    </w:p>
    <w:p w:rsidR="00834C41" w:rsidRDefault="00834C41" w:rsidP="00D35DE4">
      <w:r>
        <w:t xml:space="preserve">Opdelingen af driftsgrensanalysen for økologisk svineproduktion anbefales derfor at være som følger: </w:t>
      </w:r>
    </w:p>
    <w:p w:rsidR="00F15A45" w:rsidRDefault="00F15A45" w:rsidP="00D35DE4"/>
    <w:p w:rsidR="008C481C" w:rsidRDefault="008C481C" w:rsidP="00D35DE4">
      <w:r>
        <w:t>Tabel 1. Anbefalede standardkolonner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F15A45" w:rsidTr="00BF7272">
        <w:tc>
          <w:tcPr>
            <w:tcW w:w="4077" w:type="dxa"/>
            <w:shd w:val="clear" w:color="auto" w:fill="72AF2F"/>
          </w:tcPr>
          <w:p w:rsidR="00F15A45" w:rsidRPr="00633201" w:rsidRDefault="00633201" w:rsidP="00D35DE4">
            <w:pPr>
              <w:rPr>
                <w:color w:val="FFFFFF" w:themeColor="background1"/>
              </w:rPr>
            </w:pPr>
            <w:r w:rsidRPr="00633201">
              <w:rPr>
                <w:color w:val="FFFFFF" w:themeColor="background1"/>
              </w:rPr>
              <w:t>Produktion</w:t>
            </w:r>
          </w:p>
        </w:tc>
        <w:tc>
          <w:tcPr>
            <w:tcW w:w="5245" w:type="dxa"/>
            <w:shd w:val="clear" w:color="auto" w:fill="72AF2F"/>
          </w:tcPr>
          <w:p w:rsidR="00F15A45" w:rsidRPr="00633201" w:rsidRDefault="00633201" w:rsidP="00D35DE4">
            <w:pPr>
              <w:rPr>
                <w:color w:val="FFFFFF" w:themeColor="background1"/>
              </w:rPr>
            </w:pPr>
            <w:r w:rsidRPr="00633201">
              <w:rPr>
                <w:color w:val="FFFFFF" w:themeColor="background1"/>
              </w:rPr>
              <w:t>Vejledende standardkolonne til Driftsgrensanalyse</w:t>
            </w:r>
          </w:p>
        </w:tc>
      </w:tr>
      <w:tr w:rsidR="00F15A45" w:rsidTr="00BF7272">
        <w:tc>
          <w:tcPr>
            <w:tcW w:w="4077" w:type="dxa"/>
          </w:tcPr>
          <w:p w:rsidR="00F15A45" w:rsidRDefault="00633201" w:rsidP="00D35DE4">
            <w:r>
              <w:t>Søer med fravænnede grise</w:t>
            </w:r>
          </w:p>
        </w:tc>
        <w:tc>
          <w:tcPr>
            <w:tcW w:w="5245" w:type="dxa"/>
          </w:tcPr>
          <w:p w:rsidR="00F15A45" w:rsidRDefault="00633201" w:rsidP="00D35DE4">
            <w:r>
              <w:t>7000 – Søer + smågrise (til 14 kg)</w:t>
            </w:r>
          </w:p>
        </w:tc>
      </w:tr>
      <w:tr w:rsidR="00F15A45" w:rsidTr="00BF7272">
        <w:tc>
          <w:tcPr>
            <w:tcW w:w="4077" w:type="dxa"/>
          </w:tcPr>
          <w:p w:rsidR="00F15A45" w:rsidRDefault="00633201" w:rsidP="00D35DE4">
            <w:r>
              <w:t>Slagtesvin (14-110)</w:t>
            </w:r>
          </w:p>
        </w:tc>
        <w:tc>
          <w:tcPr>
            <w:tcW w:w="5245" w:type="dxa"/>
          </w:tcPr>
          <w:p w:rsidR="00F15A45" w:rsidRDefault="00633201" w:rsidP="00D35DE4">
            <w:r>
              <w:t xml:space="preserve">7960 – FRATS </w:t>
            </w:r>
          </w:p>
        </w:tc>
      </w:tr>
      <w:tr w:rsidR="00633201" w:rsidTr="00BF7272">
        <w:tc>
          <w:tcPr>
            <w:tcW w:w="4077" w:type="dxa"/>
          </w:tcPr>
          <w:p w:rsidR="00633201" w:rsidRDefault="00633201" w:rsidP="00D35DE4">
            <w:r>
              <w:t>Planteavlsdelen</w:t>
            </w:r>
            <w:r w:rsidR="00BF7272">
              <w:t xml:space="preserve"> (salgsafgrøder og grovfoder)</w:t>
            </w:r>
          </w:p>
        </w:tc>
        <w:tc>
          <w:tcPr>
            <w:tcW w:w="5245" w:type="dxa"/>
          </w:tcPr>
          <w:p w:rsidR="00633201" w:rsidRDefault="00633201" w:rsidP="00D35DE4">
            <w:r>
              <w:t>910 – Mark uspecificeret</w:t>
            </w:r>
          </w:p>
        </w:tc>
      </w:tr>
      <w:tr w:rsidR="00BF7272" w:rsidTr="00BF7272">
        <w:tc>
          <w:tcPr>
            <w:tcW w:w="4077" w:type="dxa"/>
          </w:tcPr>
          <w:p w:rsidR="00BF7272" w:rsidRDefault="00BF7272" w:rsidP="00D35DE4">
            <w:r>
              <w:t>Planteavlsdelen (kun salgsafgrøder)</w:t>
            </w:r>
          </w:p>
        </w:tc>
        <w:tc>
          <w:tcPr>
            <w:tcW w:w="5245" w:type="dxa"/>
          </w:tcPr>
          <w:p w:rsidR="00BF7272" w:rsidRDefault="00BF7272" w:rsidP="00D35DE4">
            <w:r>
              <w:t>5910 – Korn, frø, raps og ærter</w:t>
            </w:r>
          </w:p>
        </w:tc>
      </w:tr>
    </w:tbl>
    <w:p w:rsidR="00F15A45" w:rsidRDefault="00F15A45" w:rsidP="00D35DE4"/>
    <w:p w:rsidR="00CB7A3D" w:rsidRPr="00BF7272" w:rsidRDefault="00CB7A3D" w:rsidP="00CB7A3D">
      <w:pPr>
        <w:pStyle w:val="Overskrift3"/>
      </w:pPr>
      <w:r w:rsidRPr="00BF7272">
        <w:t>Markdrift</w:t>
      </w:r>
    </w:p>
    <w:p w:rsidR="00D55C5F" w:rsidRPr="00BF7272" w:rsidRDefault="00D55C5F" w:rsidP="00834C41">
      <w:r w:rsidRPr="00BF7272">
        <w:t xml:space="preserve">En lille andel af foderet til de økologiske svin dækkes af grovfoder. Det bliver dog sjældent til mere end hvad der svarer til 8-10 % af det samlede </w:t>
      </w:r>
      <w:proofErr w:type="spellStart"/>
      <w:r w:rsidRPr="00BF7272">
        <w:t>omdriftsareal</w:t>
      </w:r>
      <w:proofErr w:type="spellEnd"/>
      <w:r w:rsidRPr="00BF7272">
        <w:t xml:space="preserve"> på bedriften. Derfor er det ikke umidde</w:t>
      </w:r>
      <w:r w:rsidRPr="00BF7272">
        <w:t>l</w:t>
      </w:r>
      <w:r w:rsidRPr="00BF7272">
        <w:t xml:space="preserve">bart </w:t>
      </w:r>
      <w:r w:rsidR="00DD16E2">
        <w:t>aktuelt</w:t>
      </w:r>
      <w:r w:rsidRPr="00BF7272">
        <w:t xml:space="preserve"> at opdele markdriften i salgsafgrøder og grovfoder. Nogle producenter indkøber blot </w:t>
      </w:r>
      <w:proofErr w:type="spellStart"/>
      <w:r w:rsidRPr="00BF7272">
        <w:t>wra</w:t>
      </w:r>
      <w:r w:rsidRPr="00BF7272">
        <w:t>p</w:t>
      </w:r>
      <w:r w:rsidRPr="00BF7272">
        <w:t>baller</w:t>
      </w:r>
      <w:proofErr w:type="spellEnd"/>
      <w:r w:rsidRPr="00BF7272">
        <w:t xml:space="preserve"> og har dermed slet ikke en egen grovfoderproduktion.</w:t>
      </w:r>
      <w:r w:rsidR="00DD16E2">
        <w:t xml:space="preserve"> Hvis arealet med grovfoder på bedriften er væsentligt, er der naturligvis mulighed for at lave opdelingen af markbruget mellem grovfoder og salgsafgrøder.</w:t>
      </w:r>
    </w:p>
    <w:p w:rsidR="00834C41" w:rsidRDefault="00D55C5F" w:rsidP="00D55C5F">
      <w:r w:rsidRPr="00BF7272">
        <w:t>Bemærk, at såfremt der medtages omkostninger til grovfoder i kolonnen 5910 vil divisoren ikke tage hensyn til det, da arealet</w:t>
      </w:r>
      <w:r w:rsidR="00FE27FB">
        <w:t>,</w:t>
      </w:r>
      <w:r w:rsidRPr="00BF7272">
        <w:t xml:space="preserve"> som anvendes til divisor</w:t>
      </w:r>
      <w:r w:rsidR="00FE27FB">
        <w:t>,</w:t>
      </w:r>
      <w:r w:rsidRPr="00BF7272">
        <w:t xml:space="preserve"> kun medtager korn, frø, raps og ærter. </w:t>
      </w:r>
    </w:p>
    <w:p w:rsidR="001D6DFA" w:rsidRPr="00BF7272" w:rsidRDefault="001D6DFA" w:rsidP="00D55C5F">
      <w:r>
        <w:t>Såfremt grovfoderarealet ønskes opgjort særskilt</w:t>
      </w:r>
      <w:r w:rsidR="00FE27FB">
        <w:t>,</w:t>
      </w:r>
      <w:r>
        <w:t xml:space="preserve"> kan dette foregå på 5950 grovfoder.</w:t>
      </w:r>
    </w:p>
    <w:p w:rsidR="00834C41" w:rsidRPr="00BF7272" w:rsidRDefault="00834C41" w:rsidP="00834C41"/>
    <w:p w:rsidR="00D55C5F" w:rsidRDefault="00CB7A3D" w:rsidP="00CB7A3D">
      <w:pPr>
        <w:pStyle w:val="Overskrift2"/>
      </w:pPr>
      <w:r>
        <w:t>Fordeling af omkostninger</w:t>
      </w:r>
      <w:r w:rsidR="00633201">
        <w:t xml:space="preserve"> og indtægter</w:t>
      </w:r>
    </w:p>
    <w:p w:rsidR="00CB7A3D" w:rsidRDefault="00CB7A3D" w:rsidP="00834C41">
      <w:r>
        <w:t>I lighed med konventionel svineproduktion er det nødvendigt at opgøre interne overførsler af både smågrise, polte, korn og halm.</w:t>
      </w:r>
    </w:p>
    <w:p w:rsidR="00CB7A3D" w:rsidRDefault="00633201" w:rsidP="00834C41">
      <w:r>
        <w:lastRenderedPageBreak/>
        <w:t>Principper for intern omsætning af smågrise, polte og korn følger principperne for konventionel pr</w:t>
      </w:r>
      <w:r>
        <w:t>o</w:t>
      </w:r>
      <w:r>
        <w:t xml:space="preserve">duktion. </w:t>
      </w:r>
      <w:r w:rsidR="00CB7A3D">
        <w:t>Der er opgivet vejledende priser for intern omsætning i lighed med den konventionelle pr</w:t>
      </w:r>
      <w:r w:rsidR="00CB7A3D">
        <w:t>o</w:t>
      </w:r>
      <w:r w:rsidR="00CB7A3D">
        <w:t>duktion.</w:t>
      </w:r>
    </w:p>
    <w:p w:rsidR="00CB7A3D" w:rsidRDefault="00F15A45" w:rsidP="00834C41">
      <w:r>
        <w:t xml:space="preserve">Ifølge grundlaget for den beregnede notering anvendes der ca. 220 kg halm pr. </w:t>
      </w:r>
      <w:proofErr w:type="spellStart"/>
      <w:r>
        <w:t>årsso</w:t>
      </w:r>
      <w:proofErr w:type="spellEnd"/>
      <w:r>
        <w:t xml:space="preserve"> og 47 kg halm pr. slagtesvin fra 14 til 100 kg. Dette giver for en integreret producent med 22 grise pr. </w:t>
      </w:r>
      <w:proofErr w:type="spellStart"/>
      <w:r>
        <w:t>årsso</w:t>
      </w:r>
      <w:proofErr w:type="spellEnd"/>
      <w:r>
        <w:t xml:space="preserve"> et samlet halmforbrug på 1.250 kg halm pr. </w:t>
      </w:r>
      <w:proofErr w:type="spellStart"/>
      <w:r>
        <w:t>årsso</w:t>
      </w:r>
      <w:proofErr w:type="spellEnd"/>
      <w:r>
        <w:t>. Et forbrug på dette niveau gør halmen til en væsentlig o</w:t>
      </w:r>
      <w:r>
        <w:t>m</w:t>
      </w:r>
      <w:r>
        <w:t>kostning i produktionen</w:t>
      </w:r>
      <w:r w:rsidR="00FE27FB">
        <w:t>,</w:t>
      </w:r>
      <w:r>
        <w:t xml:space="preserve"> og dermed bliver det også reelt at opgøre intern omsætning af halmen. </w:t>
      </w:r>
    </w:p>
    <w:p w:rsidR="00F15A45" w:rsidRDefault="00633201" w:rsidP="00834C41">
      <w:r>
        <w:t>Halmen omkostningsføres som strøelse ved grisene, og denne post samles op i linjen ”Diverse vedr. husdyr” som er en del af dækningsbidraget.</w:t>
      </w:r>
    </w:p>
    <w:p w:rsidR="00633201" w:rsidRDefault="00633201" w:rsidP="00834C41"/>
    <w:p w:rsidR="00F15A45" w:rsidRDefault="00633201" w:rsidP="00834C41">
      <w:r>
        <w:t>Fordelingen af foderomkostningerne kan med fordel hentes fra E-kontrollen</w:t>
      </w:r>
      <w:r w:rsidR="00FE27FB">
        <w:t>,</w:t>
      </w:r>
      <w:r>
        <w:t xml:space="preserve"> såfremt den er tilgæng</w:t>
      </w:r>
      <w:r>
        <w:t>e</w:t>
      </w:r>
      <w:r>
        <w:t>lig.</w:t>
      </w:r>
    </w:p>
    <w:p w:rsidR="00476267" w:rsidRDefault="00476267" w:rsidP="00834C41">
      <w:r>
        <w:t xml:space="preserve">Alt </w:t>
      </w:r>
      <w:proofErr w:type="spellStart"/>
      <w:r>
        <w:t>sofoderet</w:t>
      </w:r>
      <w:proofErr w:type="spellEnd"/>
      <w:r>
        <w:t xml:space="preserve"> tilhører naturligvis </w:t>
      </w:r>
      <w:proofErr w:type="spellStart"/>
      <w:r>
        <w:t>soholdet</w:t>
      </w:r>
      <w:proofErr w:type="spellEnd"/>
      <w:r>
        <w:t xml:space="preserve">, og det er således </w:t>
      </w:r>
      <w:r w:rsidR="00BF7272">
        <w:t xml:space="preserve">umiddelbart </w:t>
      </w:r>
      <w:r>
        <w:t>kun fordelingen af smågris</w:t>
      </w:r>
      <w:r>
        <w:t>e</w:t>
      </w:r>
      <w:r>
        <w:t>foder</w:t>
      </w:r>
      <w:r w:rsidR="00FE27FB">
        <w:t>,</w:t>
      </w:r>
      <w:r>
        <w:t xml:space="preserve"> der kan give udfordringer. Der er stor forskel på</w:t>
      </w:r>
      <w:r w:rsidR="00FE27FB">
        <w:t>,</w:t>
      </w:r>
      <w:r>
        <w:t xml:space="preserve"> hvordan de enkelte producenter vælger at fo</w:t>
      </w:r>
      <w:r>
        <w:t>d</w:t>
      </w:r>
      <w:r>
        <w:t>re smågrisene</w:t>
      </w:r>
      <w:r w:rsidR="00FE27FB">
        <w:t>,</w:t>
      </w:r>
      <w:r>
        <w:t xml:space="preserve"> mens de går ved soen, derfor er det her nødvendigt at drøfte denne fordeling med landmanden.</w:t>
      </w:r>
    </w:p>
    <w:p w:rsidR="00476267" w:rsidRDefault="00476267" w:rsidP="00834C41">
      <w:r>
        <w:t>For producenter med hjemmeblanding er udfordringen større, da det er råvarer og korn</w:t>
      </w:r>
      <w:r w:rsidR="00FE27FB">
        <w:t>,</w:t>
      </w:r>
      <w:r>
        <w:t xml:space="preserve"> der skal fo</w:t>
      </w:r>
      <w:r>
        <w:t>r</w:t>
      </w:r>
      <w:r>
        <w:t>deles mellem driftsgrenene, ligesom vedligehold</w:t>
      </w:r>
      <w:r w:rsidR="006B3F95">
        <w:t xml:space="preserve">, energi, arbejdstid mv. vedr. mølleriet skal fordeles forholdsmæssigt mellem </w:t>
      </w:r>
      <w:proofErr w:type="spellStart"/>
      <w:r w:rsidR="006B3F95">
        <w:t>sohold</w:t>
      </w:r>
      <w:proofErr w:type="spellEnd"/>
      <w:r w:rsidR="006B3F95">
        <w:t xml:space="preserve"> og slagtesvin.</w:t>
      </w:r>
    </w:p>
    <w:p w:rsidR="006B3F95" w:rsidRDefault="006B3F95" w:rsidP="00834C41">
      <w:r>
        <w:t>I grundlaget for den beregnede notering er der i tabel 1 vist normer for foderforbrug ved henholdsvis søer, smågrise og slagtesvin. I forhold til fordelingen i driftsgrensanalysen er ”smågrisene” i grundl</w:t>
      </w:r>
      <w:r>
        <w:t>a</w:t>
      </w:r>
      <w:r>
        <w:t>get for den beregnede notering grise fra 14 til 30 kg. Det er således summen af smågrise og slagt</w:t>
      </w:r>
      <w:r>
        <w:t>e</w:t>
      </w:r>
      <w:r>
        <w:t>svin</w:t>
      </w:r>
      <w:r w:rsidR="00FE27FB">
        <w:t>,</w:t>
      </w:r>
      <w:r>
        <w:t xml:space="preserve"> der skal fordeles til FRATS i driftsgrensanalysen.</w:t>
      </w:r>
    </w:p>
    <w:p w:rsidR="00BF7272" w:rsidRDefault="00BF7272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BF7272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 xml:space="preserve">Såfremt der ikke er mere nøjagtige registreringer tilgængelige, kan fordelingen af dyrlæge og diverse omkostninger mellem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 xml:space="preserve"> og slagtesvin ske efter normerne</w:t>
      </w:r>
      <w:r w:rsidR="00FE27FB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der er angivet i tabel 2.</w:t>
      </w: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BF7272" w:rsidRDefault="008C481C" w:rsidP="00BF7272">
      <w:r>
        <w:t xml:space="preserve">Tabel 2. </w:t>
      </w:r>
      <w:r w:rsidR="00BF7272">
        <w:t xml:space="preserve">Forbrug eller omkostning pr. </w:t>
      </w:r>
      <w:proofErr w:type="spellStart"/>
      <w:r w:rsidR="00BF7272">
        <w:t>årsso</w:t>
      </w:r>
      <w:proofErr w:type="spellEnd"/>
      <w:r w:rsidR="00BF7272">
        <w:t xml:space="preserve"> eller pr. produceret enhed. (kilde: Grundlag for den bere</w:t>
      </w:r>
      <w:r w:rsidR="00BF7272">
        <w:t>g</w:t>
      </w:r>
      <w:r w:rsidR="00BF7272">
        <w:t>nede notering for økologiske smågrise – December 2014)</w:t>
      </w:r>
    </w:p>
    <w:tbl>
      <w:tblPr>
        <w:tblStyle w:val="Lysskygge-fremhvningsfarve3"/>
        <w:tblW w:w="0" w:type="auto"/>
        <w:tblLayout w:type="fixed"/>
        <w:tblLook w:val="0400" w:firstRow="0" w:lastRow="0" w:firstColumn="0" w:lastColumn="0" w:noHBand="0" w:noVBand="1"/>
      </w:tblPr>
      <w:tblGrid>
        <w:gridCol w:w="3794"/>
        <w:gridCol w:w="1758"/>
        <w:gridCol w:w="1758"/>
        <w:gridCol w:w="1758"/>
      </w:tblGrid>
      <w:tr w:rsidR="00BF7272" w:rsidTr="00BF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</w:t>
            </w:r>
            <w:r>
              <w:rPr>
                <w:sz w:val="18"/>
                <w:szCs w:val="18"/>
              </w:rPr>
              <w:t>å</w:t>
            </w:r>
            <w:r>
              <w:rPr>
                <w:sz w:val="18"/>
                <w:szCs w:val="18"/>
              </w:rPr>
              <w:t>grise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Slagtesvin</w:t>
            </w:r>
          </w:p>
        </w:tc>
      </w:tr>
      <w:tr w:rsidR="00BF7272" w:rsidTr="00BF7272">
        <w:trPr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Energiforbrug i kWh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BF7272" w:rsidTr="00BF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Halmforbrug i kg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BF7272" w:rsidTr="00BF7272">
        <w:trPr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Vandforbrug i m</w:t>
            </w:r>
            <w:r>
              <w:rPr>
                <w:sz w:val="12"/>
                <w:szCs w:val="12"/>
              </w:rPr>
              <w:t xml:space="preserve">3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0,09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BF7272" w:rsidTr="00BF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Medicin i kr.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F7272" w:rsidTr="00BF7272">
        <w:trPr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Vacciner, i kr.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F7272" w:rsidTr="00BF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Produktionsafgift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BF7272" w:rsidTr="00BF7272">
        <w:trPr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Destruktion/DAKA pr. d</w:t>
            </w:r>
            <w:r>
              <w:rPr>
                <w:rFonts w:hint="eastAsia"/>
                <w:sz w:val="18"/>
                <w:szCs w:val="18"/>
              </w:rPr>
              <w:t>ø</w:t>
            </w:r>
            <w:r>
              <w:rPr>
                <w:sz w:val="18"/>
                <w:szCs w:val="18"/>
              </w:rPr>
              <w:t xml:space="preserve">d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</w:tr>
      <w:tr w:rsidR="00BF7272" w:rsidTr="00BF7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rFonts w:hint="eastAsia"/>
                <w:sz w:val="18"/>
                <w:szCs w:val="18"/>
              </w:rPr>
              <w:t>å</w:t>
            </w:r>
            <w:r>
              <w:rPr>
                <w:sz w:val="18"/>
                <w:szCs w:val="18"/>
              </w:rPr>
              <w:t>dgivning/dyrl</w:t>
            </w:r>
            <w:r>
              <w:rPr>
                <w:rFonts w:hint="eastAsia"/>
                <w:sz w:val="18"/>
                <w:szCs w:val="18"/>
              </w:rPr>
              <w:t>æ</w:t>
            </w:r>
            <w:r>
              <w:rPr>
                <w:sz w:val="18"/>
                <w:szCs w:val="18"/>
              </w:rPr>
              <w:t xml:space="preserve">ge i kr.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F7272" w:rsidTr="00BF7272">
        <w:trPr>
          <w:trHeight w:val="126"/>
        </w:trPr>
        <w:tc>
          <w:tcPr>
            <w:tcW w:w="3794" w:type="dxa"/>
          </w:tcPr>
          <w:p w:rsidR="00BF7272" w:rsidRDefault="00BF7272" w:rsidP="00FE27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Diverse udgifter i kr. pr. enhed 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1+2*</w:t>
            </w:r>
          </w:p>
        </w:tc>
        <w:tc>
          <w:tcPr>
            <w:tcW w:w="1758" w:type="dxa"/>
          </w:tcPr>
          <w:p w:rsidR="00BF7272" w:rsidRDefault="00BF7272" w:rsidP="00FE27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:rsidR="00BF7272" w:rsidRDefault="00BF7272" w:rsidP="00BF727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 Grovfoder indregnes som en diverse omkostning for sm</w:t>
      </w:r>
      <w:r>
        <w:rPr>
          <w:rFonts w:hint="eastAsia"/>
          <w:sz w:val="18"/>
          <w:szCs w:val="18"/>
        </w:rPr>
        <w:t>å</w:t>
      </w:r>
      <w:r>
        <w:rPr>
          <w:sz w:val="18"/>
          <w:szCs w:val="18"/>
        </w:rPr>
        <w:t>grise</w:t>
      </w:r>
    </w:p>
    <w:p w:rsidR="008C481C" w:rsidRP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Fordelingen af brændstof er der ikke angivet normer for, derfor anbefales det at landmanden selv l</w:t>
      </w:r>
      <w:r>
        <w:rPr>
          <w:rFonts w:ascii="Arial" w:eastAsia="Times New Roman" w:hAnsi="Arial" w:cs="Times New Roman"/>
          <w:color w:val="auto"/>
          <w:sz w:val="22"/>
        </w:rPr>
        <w:t>a</w:t>
      </w:r>
      <w:r>
        <w:rPr>
          <w:rFonts w:ascii="Arial" w:eastAsia="Times New Roman" w:hAnsi="Arial" w:cs="Times New Roman"/>
          <w:color w:val="auto"/>
          <w:sz w:val="22"/>
        </w:rPr>
        <w:t>ver en stikprøve på dieselforbruget pr. uge i løbet af vinteren (hvor der ikke er aktivitet i marken). Dette gøres lettest ved at notere hvor mange liter der tankes på maskinen, og hvor mange dage der går mellem optankningerne.</w:t>
      </w: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Vedligehold er ofte en udfordring at fordele, men der er dog den hjælp</w:t>
      </w:r>
      <w:r w:rsidR="00DD16E2">
        <w:rPr>
          <w:rFonts w:ascii="Arial" w:eastAsia="Times New Roman" w:hAnsi="Arial" w:cs="Times New Roman"/>
          <w:color w:val="auto"/>
          <w:sz w:val="22"/>
        </w:rPr>
        <w:t>, at</w:t>
      </w:r>
      <w:r>
        <w:rPr>
          <w:rFonts w:ascii="Arial" w:eastAsia="Times New Roman" w:hAnsi="Arial" w:cs="Times New Roman"/>
          <w:color w:val="auto"/>
          <w:sz w:val="22"/>
        </w:rPr>
        <w:t xml:space="preserve"> alt vedligehold vedr. stal</w:t>
      </w:r>
      <w:r>
        <w:rPr>
          <w:rFonts w:ascii="Arial" w:eastAsia="Times New Roman" w:hAnsi="Arial" w:cs="Times New Roman"/>
          <w:color w:val="auto"/>
          <w:sz w:val="22"/>
        </w:rPr>
        <w:t>d</w:t>
      </w:r>
      <w:r>
        <w:rPr>
          <w:rFonts w:ascii="Arial" w:eastAsia="Times New Roman" w:hAnsi="Arial" w:cs="Times New Roman"/>
          <w:color w:val="auto"/>
          <w:sz w:val="22"/>
        </w:rPr>
        <w:t xml:space="preserve">bygninger og indvendigt staldinventar </w:t>
      </w:r>
      <w:r w:rsidR="00D35623">
        <w:rPr>
          <w:rFonts w:ascii="Arial" w:eastAsia="Times New Roman" w:hAnsi="Arial" w:cs="Times New Roman"/>
          <w:color w:val="auto"/>
          <w:sz w:val="22"/>
        </w:rPr>
        <w:t xml:space="preserve">i den økologiske svineproduktion </w:t>
      </w:r>
      <w:r>
        <w:rPr>
          <w:rFonts w:ascii="Arial" w:eastAsia="Times New Roman" w:hAnsi="Arial" w:cs="Times New Roman"/>
          <w:color w:val="auto"/>
          <w:sz w:val="22"/>
        </w:rPr>
        <w:t xml:space="preserve">som udgangspunkt </w:t>
      </w:r>
      <w:r w:rsidR="00D35623">
        <w:rPr>
          <w:rFonts w:ascii="Arial" w:eastAsia="Times New Roman" w:hAnsi="Arial" w:cs="Times New Roman"/>
          <w:color w:val="auto"/>
          <w:sz w:val="22"/>
        </w:rPr>
        <w:t xml:space="preserve">er </w:t>
      </w:r>
      <w:r>
        <w:rPr>
          <w:rFonts w:ascii="Arial" w:eastAsia="Times New Roman" w:hAnsi="Arial" w:cs="Times New Roman"/>
          <w:color w:val="auto"/>
          <w:sz w:val="22"/>
        </w:rPr>
        <w:t>noget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der tilhører slagtesvineproduktionen, mens vedligehold til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soholdet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 xml:space="preserve"> primært er til hytter og hegn. De</w:t>
      </w:r>
      <w:r>
        <w:rPr>
          <w:rFonts w:ascii="Arial" w:eastAsia="Times New Roman" w:hAnsi="Arial" w:cs="Times New Roman"/>
          <w:color w:val="auto"/>
          <w:sz w:val="22"/>
        </w:rPr>
        <w:t>r</w:t>
      </w:r>
      <w:r>
        <w:rPr>
          <w:rFonts w:ascii="Arial" w:eastAsia="Times New Roman" w:hAnsi="Arial" w:cs="Times New Roman"/>
          <w:color w:val="auto"/>
          <w:sz w:val="22"/>
        </w:rPr>
        <w:t xml:space="preserve">udover skal der fordeles en andel af vedligehold vedr. traktor, minilæsser,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ATV’er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 xml:space="preserve"> mv.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som anvendes i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soholdet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>.</w:t>
      </w: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8C481C" w:rsidRDefault="008C481C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 xml:space="preserve">Fordelingen af arbejdsomkostninger </w:t>
      </w:r>
      <w:r w:rsidR="00F733DD">
        <w:rPr>
          <w:rFonts w:ascii="Arial" w:eastAsia="Times New Roman" w:hAnsi="Arial" w:cs="Times New Roman"/>
          <w:color w:val="auto"/>
          <w:sz w:val="22"/>
        </w:rPr>
        <w:t>kan – hvis der ikke er mere præcise opgørelser – fordeles efter normerne i grundlaget for den beregnede notering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 w:rsidR="00F733DD">
        <w:rPr>
          <w:rFonts w:ascii="Arial" w:eastAsia="Times New Roman" w:hAnsi="Arial" w:cs="Times New Roman"/>
          <w:color w:val="auto"/>
          <w:sz w:val="22"/>
        </w:rPr>
        <w:t xml:space="preserve"> der fremgår af tabel 3.</w:t>
      </w:r>
    </w:p>
    <w:p w:rsidR="00F733DD" w:rsidRDefault="00F733DD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F733DD" w:rsidRDefault="00F733DD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Tabel 3. Arbejdstidsforbrug i økologisk svineproduktion</w:t>
      </w:r>
    </w:p>
    <w:tbl>
      <w:tblPr>
        <w:tblStyle w:val="Lysskygge-fremhvningsfarve3"/>
        <w:tblW w:w="0" w:type="auto"/>
        <w:tblLayout w:type="fixed"/>
        <w:tblLook w:val="0400" w:firstRow="0" w:lastRow="0" w:firstColumn="0" w:lastColumn="0" w:noHBand="0" w:noVBand="1"/>
      </w:tblPr>
      <w:tblGrid>
        <w:gridCol w:w="3026"/>
        <w:gridCol w:w="3026"/>
      </w:tblGrid>
      <w:tr w:rsidR="00F733DD" w:rsidTr="00F7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026" w:type="dxa"/>
          </w:tcPr>
          <w:p w:rsidR="00F733DD" w:rsidRDefault="00F733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Timer/</w:t>
            </w:r>
            <w:proofErr w:type="spellStart"/>
            <w:r>
              <w:rPr>
                <w:rFonts w:hint="eastAsia"/>
                <w:sz w:val="18"/>
                <w:szCs w:val="18"/>
              </w:rPr>
              <w:t>å</w:t>
            </w:r>
            <w:r>
              <w:rPr>
                <w:sz w:val="18"/>
                <w:szCs w:val="18"/>
              </w:rPr>
              <w:t>rsso</w:t>
            </w:r>
            <w:proofErr w:type="spellEnd"/>
            <w:r>
              <w:rPr>
                <w:sz w:val="18"/>
                <w:szCs w:val="18"/>
              </w:rPr>
              <w:t xml:space="preserve"> indtil frav</w:t>
            </w:r>
            <w:r>
              <w:rPr>
                <w:rFonts w:hint="eastAsia"/>
                <w:sz w:val="18"/>
                <w:szCs w:val="18"/>
              </w:rPr>
              <w:t>æ</w:t>
            </w:r>
            <w:r>
              <w:rPr>
                <w:sz w:val="18"/>
                <w:szCs w:val="18"/>
              </w:rPr>
              <w:t xml:space="preserve">nning </w:t>
            </w:r>
          </w:p>
        </w:tc>
        <w:tc>
          <w:tcPr>
            <w:tcW w:w="3026" w:type="dxa"/>
          </w:tcPr>
          <w:p w:rsidR="00F733DD" w:rsidRDefault="00F733DD" w:rsidP="00F733D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733DD" w:rsidTr="00F733DD">
        <w:trPr>
          <w:trHeight w:val="126"/>
        </w:trPr>
        <w:tc>
          <w:tcPr>
            <w:tcW w:w="3026" w:type="dxa"/>
          </w:tcPr>
          <w:p w:rsidR="00F733DD" w:rsidRDefault="00F733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Minutter pr. sm</w:t>
            </w:r>
            <w:r>
              <w:rPr>
                <w:rFonts w:hint="eastAsia"/>
                <w:sz w:val="18"/>
                <w:szCs w:val="18"/>
              </w:rPr>
              <w:t>å</w:t>
            </w:r>
            <w:r>
              <w:rPr>
                <w:sz w:val="18"/>
                <w:szCs w:val="18"/>
              </w:rPr>
              <w:t xml:space="preserve">gris </w:t>
            </w:r>
          </w:p>
        </w:tc>
        <w:tc>
          <w:tcPr>
            <w:tcW w:w="3026" w:type="dxa"/>
          </w:tcPr>
          <w:p w:rsidR="00F733DD" w:rsidRDefault="00F733DD" w:rsidP="00F733D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F733DD" w:rsidTr="00F73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tcW w:w="3026" w:type="dxa"/>
          </w:tcPr>
          <w:p w:rsidR="00F733DD" w:rsidRDefault="00F733D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Minutter pr. slagtesvin </w:t>
            </w:r>
          </w:p>
        </w:tc>
        <w:tc>
          <w:tcPr>
            <w:tcW w:w="3026" w:type="dxa"/>
          </w:tcPr>
          <w:p w:rsidR="00F733DD" w:rsidRDefault="00F733DD" w:rsidP="00F733DD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</w:t>
            </w:r>
          </w:p>
        </w:tc>
      </w:tr>
    </w:tbl>
    <w:p w:rsidR="00F733DD" w:rsidRDefault="00F733DD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F733DD" w:rsidRDefault="00F733DD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Fordelingen af forsikringsomkostninger bør tage hensyn til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at brandforsikringerne primært vedrører slagtesvineproduktionen. </w:t>
      </w:r>
    </w:p>
    <w:p w:rsidR="00F733DD" w:rsidRDefault="00F733DD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1D2811" w:rsidRDefault="001D2811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Afskrivning af bygninger og inventar hjælpes ligeledes på vej af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at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soholdet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 xml:space="preserve"> er på friland, og at hytter og evt. hegn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der er taget op som investering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fremgår af anlægskartoteket. Såfremt det ikke er noteret i anlægskartoteket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er det en dialog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der er væsentlig at tage med landmanden.</w:t>
      </w:r>
    </w:p>
    <w:p w:rsidR="001D2811" w:rsidRDefault="001D2811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1D2811" w:rsidRDefault="001D2811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  <w:r>
        <w:rPr>
          <w:rFonts w:ascii="Arial" w:eastAsia="Times New Roman" w:hAnsi="Arial" w:cs="Times New Roman"/>
          <w:color w:val="auto"/>
          <w:sz w:val="22"/>
        </w:rPr>
        <w:t>Fordelingen af aktiverne følger den almindelige vejledning med den modifikation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at jordarealet</w:t>
      </w:r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der anvendes til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soholdet</w:t>
      </w:r>
      <w:proofErr w:type="spellEnd"/>
      <w:r w:rsidR="00D35623">
        <w:rPr>
          <w:rFonts w:ascii="Arial" w:eastAsia="Times New Roman" w:hAnsi="Arial" w:cs="Times New Roman"/>
          <w:color w:val="auto"/>
          <w:sz w:val="22"/>
        </w:rPr>
        <w:t>,</w:t>
      </w:r>
      <w:r>
        <w:rPr>
          <w:rFonts w:ascii="Arial" w:eastAsia="Times New Roman" w:hAnsi="Arial" w:cs="Times New Roman"/>
          <w:color w:val="auto"/>
          <w:sz w:val="22"/>
        </w:rPr>
        <w:t xml:space="preserve"> skal medtages som bundet kapital ved </w:t>
      </w:r>
      <w:proofErr w:type="spellStart"/>
      <w:r>
        <w:rPr>
          <w:rFonts w:ascii="Arial" w:eastAsia="Times New Roman" w:hAnsi="Arial" w:cs="Times New Roman"/>
          <w:color w:val="auto"/>
          <w:sz w:val="22"/>
        </w:rPr>
        <w:t>soholdet</w:t>
      </w:r>
      <w:proofErr w:type="spellEnd"/>
      <w:r>
        <w:rPr>
          <w:rFonts w:ascii="Arial" w:eastAsia="Times New Roman" w:hAnsi="Arial" w:cs="Times New Roman"/>
          <w:color w:val="auto"/>
          <w:sz w:val="22"/>
        </w:rPr>
        <w:t>.</w:t>
      </w:r>
    </w:p>
    <w:p w:rsidR="001D2811" w:rsidRDefault="001D2811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p w:rsidR="001D2811" w:rsidRDefault="001D2811" w:rsidP="00BF7272">
      <w:pPr>
        <w:pStyle w:val="Default"/>
        <w:rPr>
          <w:rFonts w:ascii="Arial" w:eastAsia="Times New Roman" w:hAnsi="Arial" w:cs="Times New Roman"/>
          <w:color w:val="auto"/>
          <w:sz w:val="22"/>
        </w:rPr>
      </w:pPr>
    </w:p>
    <w:sectPr w:rsidR="001D2811" w:rsidSect="008C48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7338"/>
      <w:pgMar w:top="1888" w:right="883" w:bottom="879" w:left="105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7FB" w:rsidRDefault="00FE27FB">
      <w:pPr>
        <w:spacing w:line="240" w:lineRule="auto"/>
      </w:pPr>
      <w:r>
        <w:separator/>
      </w:r>
    </w:p>
  </w:endnote>
  <w:endnote w:type="continuationSeparator" w:id="0">
    <w:p w:rsidR="00FE27FB" w:rsidRDefault="00FE27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B" w:rsidRDefault="00FE27F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B" w:rsidRDefault="00FE27FB">
    <w:pPr>
      <w:pStyle w:val="Sidefod"/>
      <w:tabs>
        <w:tab w:val="clear" w:pos="9972"/>
        <w:tab w:val="right" w:pos="9180"/>
      </w:tabs>
    </w:pPr>
    <w:r>
      <w:rPr>
        <w:rStyle w:val="Sidetal"/>
      </w:rPr>
      <w:tab/>
    </w:r>
    <w:r>
      <w:rPr>
        <w:rStyle w:val="Sidetal"/>
      </w:rP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03829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B" w:rsidRDefault="00FE27F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7FB" w:rsidRDefault="00FE27FB">
      <w:pPr>
        <w:spacing w:line="240" w:lineRule="auto"/>
      </w:pPr>
      <w:r>
        <w:separator/>
      </w:r>
    </w:p>
  </w:footnote>
  <w:footnote w:type="continuationSeparator" w:id="0">
    <w:p w:rsidR="00FE27FB" w:rsidRDefault="00FE27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B" w:rsidRDefault="00FE27F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FB" w:rsidRDefault="00FE27F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18" w:space="0" w:color="339966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"/>
      <w:gridCol w:w="4290"/>
      <w:gridCol w:w="1351"/>
      <w:gridCol w:w="1379"/>
      <w:gridCol w:w="1301"/>
    </w:tblGrid>
    <w:tr w:rsidR="00FE27FB">
      <w:trPr>
        <w:cantSplit/>
        <w:trHeight w:val="567"/>
      </w:trPr>
      <w:tc>
        <w:tcPr>
          <w:tcW w:w="5350" w:type="dxa"/>
          <w:gridSpan w:val="2"/>
          <w:tcBorders>
            <w:bottom w:val="single" w:sz="12" w:space="0" w:color="auto"/>
          </w:tcBorders>
          <w:vAlign w:val="center"/>
        </w:tcPr>
        <w:p w:rsidR="00FE27FB" w:rsidRDefault="00FE27FB">
          <w:pPr>
            <w:pStyle w:val="Sidehoved"/>
            <w:rPr>
              <w:rFonts w:cs="Arial"/>
              <w:sz w:val="36"/>
            </w:rPr>
          </w:pPr>
          <w:bookmarkStart w:id="1" w:name="SD_LAN_Memo"/>
          <w:r>
            <w:rPr>
              <w:rFonts w:cs="Arial"/>
              <w:sz w:val="36"/>
            </w:rPr>
            <w:t>Notat</w:t>
          </w:r>
          <w:bookmarkEnd w:id="1"/>
        </w:p>
      </w:tc>
      <w:tc>
        <w:tcPr>
          <w:tcW w:w="4031" w:type="dxa"/>
          <w:gridSpan w:val="3"/>
          <w:tcBorders>
            <w:bottom w:val="single" w:sz="12" w:space="0" w:color="auto"/>
          </w:tcBorders>
          <w:vAlign w:val="center"/>
        </w:tcPr>
        <w:p w:rsidR="00FE27FB" w:rsidRDefault="00FE27FB">
          <w:pPr>
            <w:pStyle w:val="Sidehoved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SEGES P/S</w:t>
          </w:r>
        </w:p>
        <w:p w:rsidR="00FE27FB" w:rsidRDefault="00FE27FB" w:rsidP="006B5CC1">
          <w:pPr>
            <w:pStyle w:val="Sidehoved"/>
            <w:jc w:val="center"/>
            <w:rPr>
              <w:rFonts w:cs="Arial"/>
              <w:sz w:val="20"/>
            </w:rPr>
          </w:pPr>
          <w:bookmarkStart w:id="2" w:name="LandskontorNavn"/>
          <w:bookmarkEnd w:id="2"/>
          <w:r>
            <w:t>Økonomi &amp; Virksomhedsledelse</w:t>
          </w:r>
        </w:p>
      </w:tc>
    </w:tr>
    <w:tr w:rsidR="00FE27FB">
      <w:trPr>
        <w:cantSplit/>
        <w:trHeight w:hRule="exact" w:val="340"/>
      </w:trPr>
      <w:tc>
        <w:tcPr>
          <w:tcW w:w="6701" w:type="dxa"/>
          <w:gridSpan w:val="3"/>
          <w:vMerge w:val="restart"/>
          <w:tcBorders>
            <w:top w:val="single" w:sz="12" w:space="0" w:color="auto"/>
            <w:right w:val="single" w:sz="4" w:space="0" w:color="auto"/>
          </w:tcBorders>
          <w:vAlign w:val="center"/>
        </w:tcPr>
        <w:p w:rsidR="00FE27FB" w:rsidRDefault="00FE27FB">
          <w:pPr>
            <w:pStyle w:val="Sidehoved"/>
            <w:rPr>
              <w:rFonts w:cs="Arial"/>
              <w:sz w:val="26"/>
            </w:rPr>
          </w:pPr>
          <w:bookmarkStart w:id="3" w:name="Overskrift"/>
          <w:bookmarkEnd w:id="3"/>
          <w:r>
            <w:t>Vejledning til driftsgrensanalyser for økologisk svineproduktion</w:t>
          </w:r>
        </w:p>
        <w:p w:rsidR="00FE27FB" w:rsidRDefault="00FE27FB">
          <w:pPr>
            <w:pStyle w:val="Sidehoved"/>
            <w:rPr>
              <w:rFonts w:cs="Arial"/>
              <w:sz w:val="20"/>
            </w:rPr>
          </w:pPr>
        </w:p>
      </w:tc>
      <w:tc>
        <w:tcPr>
          <w:tcW w:w="1379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27FB" w:rsidRPr="00287972" w:rsidRDefault="00FE27FB">
          <w:pPr>
            <w:pStyle w:val="Sidehoved"/>
            <w:rPr>
              <w:rFonts w:cs="Arial"/>
              <w:szCs w:val="22"/>
            </w:rPr>
          </w:pPr>
          <w:bookmarkStart w:id="4" w:name="SD_LAN_ActionSEGES"/>
          <w:r w:rsidRPr="00287972">
            <w:rPr>
              <w:rFonts w:cs="Arial"/>
              <w:szCs w:val="22"/>
            </w:rPr>
            <w:t>Ansvarlig</w:t>
          </w:r>
          <w:bookmarkEnd w:id="4"/>
        </w:p>
      </w:tc>
      <w:tc>
        <w:tcPr>
          <w:tcW w:w="1301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E27FB" w:rsidRDefault="00FE27FB">
          <w:pPr>
            <w:pStyle w:val="Sidehoved"/>
            <w:jc w:val="center"/>
            <w:rPr>
              <w:rFonts w:cs="Arial"/>
              <w:sz w:val="20"/>
            </w:rPr>
          </w:pPr>
          <w:bookmarkStart w:id="5" w:name="Ansvarlig"/>
          <w:bookmarkEnd w:id="5"/>
          <w:r>
            <w:t>JKG</w:t>
          </w:r>
        </w:p>
      </w:tc>
    </w:tr>
    <w:tr w:rsidR="00FE27FB">
      <w:trPr>
        <w:cantSplit/>
        <w:trHeight w:hRule="exact" w:val="340"/>
      </w:trPr>
      <w:tc>
        <w:tcPr>
          <w:tcW w:w="6701" w:type="dxa"/>
          <w:gridSpan w:val="3"/>
          <w:vMerge/>
          <w:tcBorders>
            <w:right w:val="single" w:sz="4" w:space="0" w:color="auto"/>
          </w:tcBorders>
        </w:tcPr>
        <w:p w:rsidR="00FE27FB" w:rsidRDefault="00FE27FB">
          <w:pPr>
            <w:pStyle w:val="Sidehoved"/>
            <w:rPr>
              <w:rFonts w:cs="Arial"/>
            </w:rPr>
          </w:pP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E27FB" w:rsidRDefault="00FE27FB" w:rsidP="00287972">
          <w:pPr>
            <w:pStyle w:val="Sidehoved"/>
            <w:rPr>
              <w:rFonts w:cs="Arial"/>
              <w:sz w:val="20"/>
            </w:rPr>
          </w:pPr>
          <w:bookmarkStart w:id="6" w:name="SD_LAN_Created"/>
          <w:r w:rsidRPr="00287972">
            <w:t>Oprettet</w:t>
          </w:r>
          <w:bookmarkEnd w:id="6"/>
        </w:p>
      </w:tc>
      <w:tc>
        <w:tcPr>
          <w:tcW w:w="13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FE27FB" w:rsidRDefault="00FE27FB">
          <w:pPr>
            <w:pStyle w:val="Sidehoved"/>
            <w:jc w:val="center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fldChar w:fldCharType="begin"/>
          </w:r>
          <w:r>
            <w:rPr>
              <w:rFonts w:cs="Arial"/>
              <w:sz w:val="20"/>
            </w:rPr>
            <w:instrText xml:space="preserve"> CREATEDATE  \@ "dd-MM-yyyy" </w:instrText>
          </w:r>
          <w:r>
            <w:rPr>
              <w:rFonts w:cs="Arial"/>
              <w:sz w:val="20"/>
            </w:rPr>
            <w:fldChar w:fldCharType="separate"/>
          </w:r>
          <w:r w:rsidR="0079750E">
            <w:rPr>
              <w:rFonts w:cs="Arial"/>
              <w:noProof/>
              <w:sz w:val="20"/>
            </w:rPr>
            <w:t>17-02-2015</w:t>
          </w:r>
          <w:r>
            <w:rPr>
              <w:rFonts w:cs="Arial"/>
              <w:sz w:val="20"/>
            </w:rPr>
            <w:fldChar w:fldCharType="end"/>
          </w:r>
        </w:p>
      </w:tc>
    </w:tr>
    <w:tr w:rsidR="00FE27FB">
      <w:trPr>
        <w:cantSplit/>
        <w:trHeight w:hRule="exact" w:val="340"/>
      </w:trPr>
      <w:tc>
        <w:tcPr>
          <w:tcW w:w="1060" w:type="dxa"/>
          <w:tcBorders>
            <w:bottom w:val="single" w:sz="12" w:space="0" w:color="auto"/>
          </w:tcBorders>
        </w:tcPr>
        <w:p w:rsidR="00FE27FB" w:rsidRDefault="00FE27FB">
          <w:pPr>
            <w:pStyle w:val="Sidehoved"/>
            <w:rPr>
              <w:rFonts w:cs="Arial"/>
            </w:rPr>
          </w:pPr>
          <w:bookmarkStart w:id="7" w:name="SD_LAN_Project"/>
          <w:r>
            <w:t>Projekt</w:t>
          </w:r>
          <w:bookmarkEnd w:id="7"/>
          <w:r>
            <w:t>:</w:t>
          </w:r>
        </w:p>
      </w:tc>
      <w:tc>
        <w:tcPr>
          <w:tcW w:w="5641" w:type="dxa"/>
          <w:gridSpan w:val="2"/>
          <w:tcBorders>
            <w:bottom w:val="single" w:sz="12" w:space="0" w:color="auto"/>
            <w:right w:val="single" w:sz="4" w:space="0" w:color="auto"/>
          </w:tcBorders>
        </w:tcPr>
        <w:p w:rsidR="00FE27FB" w:rsidRDefault="00FE27FB">
          <w:pPr>
            <w:pStyle w:val="Sidehoved"/>
            <w:rPr>
              <w:rFonts w:cs="Arial"/>
            </w:rPr>
          </w:pPr>
          <w:bookmarkStart w:id="8" w:name="ProjektNummerOgBeskrivelse"/>
          <w:bookmarkEnd w:id="8"/>
          <w:r>
            <w:rPr>
              <w:rFonts w:cs="Arial"/>
            </w:rPr>
            <w:t>9739</w:t>
          </w:r>
        </w:p>
      </w:tc>
      <w:tc>
        <w:tcPr>
          <w:tcW w:w="13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FE27FB" w:rsidRDefault="00FE27FB">
          <w:pPr>
            <w:pStyle w:val="Sidehoved"/>
            <w:rPr>
              <w:rFonts w:cs="Arial"/>
              <w:sz w:val="20"/>
            </w:rPr>
          </w:pPr>
          <w:bookmarkStart w:id="9" w:name="SD_LAN_Page"/>
          <w:r w:rsidRPr="00287972">
            <w:t>Side</w:t>
          </w:r>
          <w:bookmarkEnd w:id="9"/>
        </w:p>
      </w:tc>
      <w:tc>
        <w:tcPr>
          <w:tcW w:w="1301" w:type="dxa"/>
          <w:tcBorders>
            <w:top w:val="single" w:sz="4" w:space="0" w:color="auto"/>
            <w:left w:val="single" w:sz="4" w:space="0" w:color="auto"/>
            <w:bottom w:val="single" w:sz="12" w:space="0" w:color="auto"/>
          </w:tcBorders>
          <w:vAlign w:val="center"/>
        </w:tcPr>
        <w:p w:rsidR="00FE27FB" w:rsidRDefault="00FE27FB">
          <w:pPr>
            <w:pStyle w:val="Sidehoved"/>
            <w:jc w:val="center"/>
            <w:rPr>
              <w:rFonts w:cs="Arial"/>
              <w:sz w:val="20"/>
            </w:rPr>
          </w:pPr>
          <w:r>
            <w:rPr>
              <w:rStyle w:val="Sidetal"/>
              <w:rFonts w:cs="Arial"/>
              <w:sz w:val="20"/>
            </w:rPr>
            <w:fldChar w:fldCharType="begin"/>
          </w:r>
          <w:r>
            <w:rPr>
              <w:rStyle w:val="Sidetal"/>
              <w:rFonts w:cs="Arial"/>
              <w:sz w:val="20"/>
            </w:rPr>
            <w:instrText xml:space="preserve"> PAGE </w:instrText>
          </w:r>
          <w:r>
            <w:rPr>
              <w:rStyle w:val="Sidetal"/>
              <w:rFonts w:cs="Arial"/>
              <w:sz w:val="20"/>
            </w:rPr>
            <w:fldChar w:fldCharType="separate"/>
          </w:r>
          <w:r>
            <w:rPr>
              <w:rStyle w:val="Sidetal"/>
              <w:rFonts w:cs="Arial"/>
              <w:noProof/>
              <w:sz w:val="20"/>
            </w:rPr>
            <w:t>3</w:t>
          </w:r>
          <w:r>
            <w:rPr>
              <w:rStyle w:val="Sidetal"/>
              <w:rFonts w:cs="Arial"/>
              <w:sz w:val="20"/>
            </w:rPr>
            <w:fldChar w:fldCharType="end"/>
          </w:r>
          <w:r>
            <w:rPr>
              <w:rStyle w:val="Sidetal"/>
              <w:rFonts w:cs="Arial"/>
              <w:sz w:val="20"/>
            </w:rPr>
            <w:t xml:space="preserve"> af </w:t>
          </w:r>
          <w:r>
            <w:rPr>
              <w:rStyle w:val="Sidetal"/>
              <w:rFonts w:cs="Arial"/>
              <w:sz w:val="20"/>
            </w:rPr>
            <w:fldChar w:fldCharType="begin"/>
          </w:r>
          <w:r>
            <w:rPr>
              <w:rStyle w:val="Sidetal"/>
              <w:rFonts w:cs="Arial"/>
              <w:sz w:val="20"/>
            </w:rPr>
            <w:instrText xml:space="preserve"> NUMPAGES </w:instrText>
          </w:r>
          <w:r>
            <w:rPr>
              <w:rStyle w:val="Sidetal"/>
              <w:rFonts w:cs="Arial"/>
              <w:sz w:val="20"/>
            </w:rPr>
            <w:fldChar w:fldCharType="separate"/>
          </w:r>
          <w:r w:rsidR="0079750E">
            <w:rPr>
              <w:rStyle w:val="Sidetal"/>
              <w:rFonts w:cs="Arial"/>
              <w:noProof/>
              <w:sz w:val="20"/>
            </w:rPr>
            <w:t>3</w:t>
          </w:r>
          <w:r>
            <w:rPr>
              <w:rStyle w:val="Sidetal"/>
              <w:rFonts w:cs="Arial"/>
              <w:sz w:val="20"/>
            </w:rPr>
            <w:fldChar w:fldCharType="end"/>
          </w:r>
        </w:p>
      </w:tc>
    </w:tr>
  </w:tbl>
  <w:p w:rsidR="00FE27FB" w:rsidRDefault="00FE27F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1C4B3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DBC018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D4E6F48"/>
    <w:multiLevelType w:val="hybridMultilevel"/>
    <w:tmpl w:val="71C2AE0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5D"/>
    <w:rsid w:val="000A5441"/>
    <w:rsid w:val="000B1313"/>
    <w:rsid w:val="000B23D2"/>
    <w:rsid w:val="001D2811"/>
    <w:rsid w:val="001D6DFA"/>
    <w:rsid w:val="00211D3B"/>
    <w:rsid w:val="00287972"/>
    <w:rsid w:val="0038097D"/>
    <w:rsid w:val="003E1953"/>
    <w:rsid w:val="003E67EC"/>
    <w:rsid w:val="003F0A8B"/>
    <w:rsid w:val="00467C54"/>
    <w:rsid w:val="00476267"/>
    <w:rsid w:val="00633201"/>
    <w:rsid w:val="00675356"/>
    <w:rsid w:val="006B3F95"/>
    <w:rsid w:val="006B5CC1"/>
    <w:rsid w:val="00703829"/>
    <w:rsid w:val="00791FC6"/>
    <w:rsid w:val="007972AE"/>
    <w:rsid w:val="0079750E"/>
    <w:rsid w:val="00834C41"/>
    <w:rsid w:val="008C481C"/>
    <w:rsid w:val="0096772B"/>
    <w:rsid w:val="00982B4F"/>
    <w:rsid w:val="00A453EC"/>
    <w:rsid w:val="00AA4E6F"/>
    <w:rsid w:val="00AF14FD"/>
    <w:rsid w:val="00AF5730"/>
    <w:rsid w:val="00BF5AAF"/>
    <w:rsid w:val="00BF7272"/>
    <w:rsid w:val="00C96B87"/>
    <w:rsid w:val="00CB7A3D"/>
    <w:rsid w:val="00D35623"/>
    <w:rsid w:val="00D35DE4"/>
    <w:rsid w:val="00D55C5F"/>
    <w:rsid w:val="00D56CE2"/>
    <w:rsid w:val="00D56FBC"/>
    <w:rsid w:val="00DD16E2"/>
    <w:rsid w:val="00E446E4"/>
    <w:rsid w:val="00E4746D"/>
    <w:rsid w:val="00E96B5D"/>
    <w:rsid w:val="00F15A45"/>
    <w:rsid w:val="00F56D69"/>
    <w:rsid w:val="00F733DD"/>
    <w:rsid w:val="00FE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8" w:space="3" w:color="auto"/>
      </w:pBdr>
      <w:spacing w:before="240" w:after="240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B7A3D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talellerbogst">
    <w:name w:val="List Number"/>
    <w:basedOn w:val="Normal"/>
    <w:semiHidden/>
    <w:pPr>
      <w:numPr>
        <w:numId w:val="2"/>
      </w:numPr>
    </w:pPr>
  </w:style>
  <w:style w:type="paragraph" w:styleId="Sidefod">
    <w:name w:val="footer"/>
    <w:basedOn w:val="Normal"/>
    <w:semiHidden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semiHidden/>
  </w:style>
  <w:style w:type="paragraph" w:customStyle="1" w:styleId="xLandskontor">
    <w:name w:val="xLandskontor"/>
    <w:basedOn w:val="Sidehoved"/>
    <w:pPr>
      <w:framePr w:hSpace="180" w:wrap="around" w:vAnchor="text" w:hAnchor="text" w:y="1"/>
      <w:spacing w:before="520"/>
      <w:suppressOverlap/>
    </w:pPr>
    <w:rPr>
      <w:rFonts w:ascii="Century Schoolbook" w:hAnsi="Century Schoolbook"/>
      <w:i/>
      <w:sz w:val="28"/>
    </w:rPr>
  </w:style>
  <w:style w:type="paragraph" w:customStyle="1" w:styleId="xDokopl">
    <w:name w:val="xDokopl"/>
    <w:basedOn w:val="Normal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67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AfsenderOpl">
    <w:name w:val="xAfsenderOpl"/>
    <w:basedOn w:val="Normal"/>
    <w:next w:val="Normal"/>
    <w:pPr>
      <w:spacing w:line="220" w:lineRule="atLeast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67E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35DE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34C41"/>
    <w:pPr>
      <w:ind w:left="720"/>
      <w:contextualSpacing/>
    </w:pPr>
  </w:style>
  <w:style w:type="table" w:styleId="Tabel-Gitter">
    <w:name w:val="Table Grid"/>
    <w:basedOn w:val="Tabel-Normal"/>
    <w:uiPriority w:val="59"/>
    <w:rsid w:val="00F1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7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Lysskygge-fremhvningsfarve3">
    <w:name w:val="Light Shading Accent 3"/>
    <w:basedOn w:val="Tabel-Normal"/>
    <w:uiPriority w:val="60"/>
    <w:rsid w:val="00BF727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DD16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8" w:space="3" w:color="auto"/>
      </w:pBdr>
      <w:spacing w:before="240" w:after="240"/>
      <w:outlineLvl w:val="0"/>
    </w:pPr>
    <w:rPr>
      <w:rFonts w:cs="Arial"/>
      <w:b/>
      <w:bCs/>
      <w:sz w:val="28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B7A3D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986"/>
        <w:tab w:val="right" w:pos="9972"/>
      </w:tabs>
    </w:pPr>
  </w:style>
  <w:style w:type="paragraph" w:styleId="Opstilling-punkttegn">
    <w:name w:val="List Bullet"/>
    <w:basedOn w:val="Normal"/>
    <w:autoRedefine/>
    <w:semiHidden/>
    <w:pPr>
      <w:numPr>
        <w:numId w:val="1"/>
      </w:numPr>
    </w:pPr>
  </w:style>
  <w:style w:type="paragraph" w:styleId="Opstilling-talellerbogst">
    <w:name w:val="List Number"/>
    <w:basedOn w:val="Normal"/>
    <w:semiHidden/>
    <w:pPr>
      <w:numPr>
        <w:numId w:val="2"/>
      </w:numPr>
    </w:pPr>
  </w:style>
  <w:style w:type="paragraph" w:styleId="Sidefod">
    <w:name w:val="footer"/>
    <w:basedOn w:val="Normal"/>
    <w:semiHidden/>
    <w:pPr>
      <w:tabs>
        <w:tab w:val="center" w:pos="4986"/>
        <w:tab w:val="right" w:pos="9972"/>
      </w:tabs>
    </w:pPr>
  </w:style>
  <w:style w:type="character" w:styleId="Sidetal">
    <w:name w:val="page number"/>
    <w:basedOn w:val="Standardskrifttypeiafsnit"/>
    <w:semiHidden/>
  </w:style>
  <w:style w:type="paragraph" w:customStyle="1" w:styleId="xLandskontor">
    <w:name w:val="xLandskontor"/>
    <w:basedOn w:val="Sidehoved"/>
    <w:pPr>
      <w:framePr w:hSpace="180" w:wrap="around" w:vAnchor="text" w:hAnchor="text" w:y="1"/>
      <w:spacing w:before="520"/>
      <w:suppressOverlap/>
    </w:pPr>
    <w:rPr>
      <w:rFonts w:ascii="Century Schoolbook" w:hAnsi="Century Schoolbook"/>
      <w:i/>
      <w:sz w:val="28"/>
    </w:rPr>
  </w:style>
  <w:style w:type="paragraph" w:customStyle="1" w:styleId="xDokopl">
    <w:name w:val="xDokopl"/>
    <w:basedOn w:val="Normal"/>
    <w:rPr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67EC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AfsenderOpl">
    <w:name w:val="xAfsenderOpl"/>
    <w:basedOn w:val="Normal"/>
    <w:next w:val="Normal"/>
    <w:pPr>
      <w:spacing w:line="220" w:lineRule="atLeast"/>
    </w:pPr>
    <w:rPr>
      <w:sz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67E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D35DE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34C41"/>
    <w:pPr>
      <w:ind w:left="720"/>
      <w:contextualSpacing/>
    </w:pPr>
  </w:style>
  <w:style w:type="table" w:styleId="Tabel-Gitter">
    <w:name w:val="Table Grid"/>
    <w:basedOn w:val="Tabel-Normal"/>
    <w:uiPriority w:val="59"/>
    <w:rsid w:val="00F15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7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table" w:styleId="Lysskygge-fremhvningsfarve3">
    <w:name w:val="Light Shading Accent 3"/>
    <w:basedOn w:val="Tabel-Normal"/>
    <w:uiPriority w:val="60"/>
    <w:rsid w:val="00BF727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DD16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vsp.lf.dk/Sitetools/Searchresult.aspx?&amp;q=grundlag+for+den+beregnede+notering+for+%c3%b8kologiske+sm%c3%a5gri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.landbrugsinfo.dk/Oekonomi/Benchmarking/Sider/Vejledning_til_Driftsgrensanalyser_og_Oe90_Benchmarking.pdf" TargetMode="External"/><Relationship Id="rId24" Type="http://schemas.openxmlformats.org/officeDocument/2006/relationships/customXml" Target="../customXml/item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p.landbrugsinfo.dk/Oekonomi/Benchmarking/Sider/Vejledning_til_Driftsgrensanalyser_og_Oe90_Benchmarking.pdf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g\msoffice\bskabelon\WordEngineTemplates\SEGES%20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PublishingRollupImage xmlns="http://schemas.microsoft.com/sharepoint/v3" xsi:nil="true"/>
    <Revisionsdato xmlns="5aa14257-579e-4a1f-bbbb-3c8dd7393476">2015-02-17T10:02:00+00:00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DynamicPublishingContent7 xmlns="http://schemas.microsoft.com/sharepoint/v3" xsi:nil="true"/>
    <DynamicPublishingContent6 xmlns="http://schemas.microsoft.com/sharepoint/v3" xsi:nil="true"/>
    <Bekraeftelsesdato xmlns="5aa14257-579e-4a1f-bbbb-3c8dd7393476">2015-02-17T10:02:00+00:00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2015-02-16T23:00:00+00:00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 </DisplayName>
        <AccountId>15309</AccountId>
        <AccountType/>
      </UserInfo>
    </Forfattere>
    <DynamicPublishingContent3 xmlns="http://schemas.microsoft.com/sharepoint/v3" xsi:nil="true"/>
    <Sorteringsorden xmlns="5aa14257-579e-4a1f-bbbb-3c8dd7393476" xsi:nil="true"/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PublishingStartDate xmlns="http://schemas.microsoft.com/sharepoint/v3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DynamicPublishingContent8 xmlns="http://schemas.microsoft.com/sharepoint/v3" xsi:nil="true"/>
    <TaxCatchAll xmlns="303eeafb-7dff-46db-9396-e9c651f530ea"/>
    <Comments xmlns="http://schemas.microsoft.com/sharepoint/v3">Vejledning til fordeling af omkostninger i driftsgrensanalyser for økologiske svineproducenter.</Comments>
    <Nummer xmlns="5aa14257-579e-4a1f-bbbb-3c8dd7393476" xsi:nil="true"/>
    <_dlc_DocId xmlns="303eeafb-7dff-46db-9396-e9c651f530ea">LBINFO-3708-4</_dlc_DocId>
    <_dlc_DocIdUrl xmlns="303eeafb-7dff-46db-9396-e9c651f530ea">
      <Url>https://sp.landbrugsinfo.dk/Afrapportering/2015/_layouts/DocIdRedir.aspx?ID=LBINFO-3708-4</Url>
      <Description>LBINFO-3708-4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_dlc_DocIdPersistId xmlns="303eeafb-7dff-46db-9396-e9c651f530ea">false</_dlc_DocIdPersistId>
    <PublishingPageLayout xmlns="http://schemas.microsoft.com/sharepoint/v3">
      <Url xsi:nil="true"/>
      <Description xsi:nil="true"/>
    </PublishingPageLayout>
    <Projekter xmlns="c027f136-810f-4bf1-8799-fe74b7b13f91" xsi:nil="true"/>
    <Afsender xmlns="c027f136-810f-4bf1-8799-fe74b7b13f91">2</Afsender>
    <Ingen_x0020_besked_x0020_ved_x0020_arkivering xmlns="c027f136-810f-4bf1-8799-fe74b7b13f91">false</Ingen_x0020_besked_x0020_ved_x0020_arkivering>
    <NetSkabelonValue xmlns="c027f136-810f-4bf1-8799-fe74b7b13f91" xsi:nil="true"/>
    <PermalinkID xmlns="c027f136-810f-4bf1-8799-fe74b7b13f91">c1d28168-17bc-48b9-bdf7-714b656a66a4</PermalinkID>
    <Ansvarligafdeling xmlns="c027f136-810f-4bf1-8799-fe74b7b13f91">38</Ansvarligafdeling>
    <HideInRollups xmlns="c027f136-810f-4bf1-8799-fe74b7b13f91">false</HideInRollups>
    <WebInfoSubjects xmlns="c027f136-810f-4bf1-8799-fe74b7b13f91" xsi:nil="true"/>
    <TaksonomiTaxHTField0 xmlns="c027f136-810f-4bf1-8799-fe74b7b13f91">
      <Terms xmlns="http://schemas.microsoft.com/office/infopath/2007/PartnerControls"/>
    </TaksonomiTaxHTField0>
    <HitCount xmlns="c027f136-810f-4bf1-8799-fe74b7b13f91">0</HitCount>
    <WebInfoMultiSelect xmlns="c027f136-810f-4bf1-8799-fe74b7b13f91" xsi:nil="true"/>
    <EnclosureFor xmlns="c027f136-810f-4bf1-8799-fe74b7b13f91">
      <Url xsi:nil="true"/>
      <Description xsi:nil="true"/>
    </EnclosureFor>
    <FinanceYear xmlns="c027f136-810f-4bf1-8799-fe74b7b13f91" xsi:nil="true"/>
    <Arkiveringsdato xmlns="c027f136-810f-4bf1-8799-fe74b7b13f91">2099-12-31T23:00:00+00:00</Arkiveringsdato>
    <GammelURL xmlns="c027f136-810f-4bf1-8799-fe74b7b13f91" xsi:nil="true"/>
    <Rettighedsgruppe xmlns="c027f136-810f-4bf1-8799-fe74b7b13f91">1</Rettighedsgruppe>
    <Bevillingsgivere xmlns="c027f136-810f-4bf1-8799-fe74b7b13f91">2;#</Bevillingsgivere>
    <IsHiddenFromRollup xmlns="c027f136-810f-4bf1-8799-fe74b7b13f91">0</IsHiddenFromRollup>
    <WebInfoLawCodes xmlns="c027f136-810f-4bf1-8799-fe74b7b13f91" xsi:nil="true"/>
    <Afrapportering xmlns="8dd19670-a623-4c4a-8cd0-9c7122017949">586;#</Afrapportering>
    <ProjectID xmlns="c70df750-5352-4088-a10b-a69e290d946e">X586X</Project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8EB363A814BD714ABDE344FE6172A0F6" ma:contentTypeVersion="97" ma:contentTypeDescription="Contenttype til binære filer der bliver publiceret på Landbrugsinfo" ma:contentTypeScope="" ma:versionID="b63b44d5298651134d5cebcaa672cb9a">
  <xsd:schema xmlns:xsd="http://www.w3.org/2001/XMLSchema" xmlns:xs="http://www.w3.org/2001/XMLSchema" xmlns:p="http://schemas.microsoft.com/office/2006/metadata/properties" xmlns:ns1="http://schemas.microsoft.com/sharepoint/v3" xmlns:ns2="c027f136-810f-4bf1-8799-fe74b7b13f91" xmlns:ns3="5aa14257-579e-4a1f-bbbb-3c8dd7393476" xmlns:ns4="303eeafb-7dff-46db-9396-e9c651f530ea" xmlns:ns5="8dd19670-a623-4c4a-8cd0-9c7122017949" xmlns:ns6="c70df750-5352-4088-a10b-a69e290d946e" targetNamespace="http://schemas.microsoft.com/office/2006/metadata/properties" ma:root="true" ma:fieldsID="88b85633c73005aa6515b0253719537d" ns1:_="" ns2:_="" ns3:_="" ns4:_="" ns5:_="" ns6:_="">
    <xsd:import namespace="http://schemas.microsoft.com/sharepoint/v3"/>
    <xsd:import namespace="c027f136-810f-4bf1-8799-fe74b7b13f91"/>
    <xsd:import namespace="5aa14257-579e-4a1f-bbbb-3c8dd7393476"/>
    <xsd:import namespace="303eeafb-7dff-46db-9396-e9c651f530ea"/>
    <xsd:import namespace="8dd19670-a623-4c4a-8cd0-9c7122017949"/>
    <xsd:import namespace="c70df750-5352-4088-a10b-a69e290d946e"/>
    <xsd:element name="properties">
      <xsd:complexType>
        <xsd:sequence>
          <xsd:element name="documentManagement">
            <xsd:complexType>
              <xsd:all>
                <xsd:element ref="ns1:Comments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2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2:EnclosureFor" minOccurs="0"/>
                <xsd:element ref="ns2:GammelURL" minOccurs="0"/>
                <xsd:element ref="ns2:NetSkabelonValue" minOccurs="0"/>
                <xsd:element ref="ns2:Projekter" minOccurs="0"/>
                <xsd:element ref="ns2:WebInfoSubjects" minOccurs="0"/>
                <xsd:element ref="ns2:HitCount" minOccurs="0"/>
                <xsd:element ref="ns2:PermalinkID" minOccurs="0"/>
                <xsd:element ref="ns2:WebInfoMultiSelect" minOccurs="0"/>
                <xsd:element ref="ns4:_dlc_DocId" minOccurs="0"/>
                <xsd:element ref="ns4:_dlc_DocIdUrl" minOccurs="0"/>
                <xsd:element ref="ns4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2:TaksonomiTaxHTField0" minOccurs="0"/>
                <xsd:element ref="ns4:TaxCatchAll" minOccurs="0"/>
                <xsd:element ref="ns4:TaxCatchAllLabel" minOccurs="0"/>
                <xsd:element ref="ns2:Bevillingsgivere" minOccurs="0"/>
                <xsd:element ref="ns2:FinanceYear" minOccurs="0"/>
                <xsd:element ref="ns2:WebInfoLawCodes" minOccurs="0"/>
                <xsd:element ref="ns5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f136-810f-4bf1-8799-fe74b7b13f91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readOnly="fals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 ma:readOnly="false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6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7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19670-a623-4c4a-8cd0-9c7122017949" elementFormDefault="qualified">
    <xsd:import namespace="http://schemas.microsoft.com/office/2006/documentManagement/types"/>
    <xsd:import namespace="http://schemas.microsoft.com/office/infopath/2007/PartnerControls"/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f750-5352-4088-a10b-a69e290d946e" elementFormDefault="qualified">
    <xsd:import namespace="http://schemas.microsoft.com/office/2006/documentManagement/types"/>
    <xsd:import namespace="http://schemas.microsoft.com/office/infopath/2007/PartnerControls"/>
    <xsd:element name="ProjectID" ma:index="78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Props1.xml><?xml version="1.0" encoding="utf-8"?>
<ds:datastoreItem xmlns:ds="http://schemas.openxmlformats.org/officeDocument/2006/customXml" ds:itemID="{27381F78-F9E3-4E19-A296-94199C44DC8D}"/>
</file>

<file path=customXml/itemProps2.xml><?xml version="1.0" encoding="utf-8"?>
<ds:datastoreItem xmlns:ds="http://schemas.openxmlformats.org/officeDocument/2006/customXml" ds:itemID="{E8050228-2A6F-457B-ABD4-D52DA65B6AC9}"/>
</file>

<file path=customXml/itemProps3.xml><?xml version="1.0" encoding="utf-8"?>
<ds:datastoreItem xmlns:ds="http://schemas.openxmlformats.org/officeDocument/2006/customXml" ds:itemID="{08B2E3FC-0797-4581-8E27-6A00DB79636A}"/>
</file>

<file path=customXml/itemProps4.xml><?xml version="1.0" encoding="utf-8"?>
<ds:datastoreItem xmlns:ds="http://schemas.openxmlformats.org/officeDocument/2006/customXml" ds:itemID="{FE7C9B86-26B6-4F73-8DB8-14E91E310D46}"/>
</file>

<file path=customXml/itemProps5.xml><?xml version="1.0" encoding="utf-8"?>
<ds:datastoreItem xmlns:ds="http://schemas.openxmlformats.org/officeDocument/2006/customXml" ds:itemID="{738A3272-E26A-428A-A800-B639AE5D6265}"/>
</file>

<file path=docProps/app.xml><?xml version="1.0" encoding="utf-8"?>
<Properties xmlns="http://schemas.openxmlformats.org/officeDocument/2006/extended-properties" xmlns:vt="http://schemas.openxmlformats.org/officeDocument/2006/docPropsVTypes">
  <Template>SEGES Notat</Template>
  <TotalTime>1</TotalTime>
  <Pages>3</Pages>
  <Words>992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Landbrugsrådgivning, Landscentret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Vejledning til driftsgrensanalyser for økologisk svineproduktion</dc:title>
  <dc:creator>Jacob Krog</dc:creator>
  <cp:lastModifiedBy>Birthe Stougaard Schøtt</cp:lastModifiedBy>
  <cp:revision>2</cp:revision>
  <cp:lastPrinted>2015-02-17T07:06:00Z</cp:lastPrinted>
  <dcterms:created xsi:type="dcterms:W3CDTF">2015-02-17T10:02:00Z</dcterms:created>
  <dcterms:modified xsi:type="dcterms:W3CDTF">2015-02-17T10:02:00Z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 </vt:lpwstr>
  </property>
  <property fmtid="{D5CDD505-2E9C-101B-9397-08002B2CF9AE}" pid="3" name="SD_ShowDocumentInfo">
    <vt:lpwstr>True</vt:lpwstr>
  </property>
  <property fmtid="{D5CDD505-2E9C-101B-9397-08002B2CF9AE}" pid="4" name="ContentTypeId">
    <vt:lpwstr>0x010100C568DB52D9D0A14D9B2FDCC96666E9F2007948130EC3DB064584E219954237AF3900242457EFB8B24247815D688C526CD44D00C26A9DBCB02B5C4DA1F017B836C045C00060750ADE2E6249BABB5C6118FC133DE800AF2E6DC7107240CAAE62CB7A7C0C3100008EB363A814BD714ABDE344FE6172A0F6</vt:lpwstr>
  </property>
  <property fmtid="{D5CDD505-2E9C-101B-9397-08002B2CF9AE}" pid="5" name="_dlc_DocIdItemGuid">
    <vt:lpwstr>47914e94-f8a6-4839-8834-7e11fdaf7d88</vt:lpwstr>
  </property>
  <property fmtid="{D5CDD505-2E9C-101B-9397-08002B2CF9AE}" pid="6" name="Taksonomi">
    <vt:lpwstr/>
  </property>
  <property fmtid="{D5CDD505-2E9C-101B-9397-08002B2CF9AE}" pid="7" name="AllowComments">
    <vt:bool>true</vt:bool>
  </property>
  <property fmtid="{D5CDD505-2E9C-101B-9397-08002B2CF9AE}" pid="8" name="DisplayComments">
    <vt:bool>true</vt:bool>
  </property>
  <property fmtid="{D5CDD505-2E9C-101B-9397-08002B2CF9AE}" pid="9" name="Sprogvalg">
    <vt:lpwstr>2</vt:lpwstr>
  </property>
  <property fmtid="{D5CDD505-2E9C-101B-9397-08002B2CF9AE}" pid="10" name="Dokumentdato">
    <vt:lpwstr/>
  </property>
  <property fmtid="{D5CDD505-2E9C-101B-9397-08002B2CF9AE}" pid="11" name="_Source">
    <vt:lpwstr/>
  </property>
  <property fmtid="{D5CDD505-2E9C-101B-9397-08002B2CF9AE}" pid="12" name="xd_ProgID">
    <vt:lpwstr/>
  </property>
  <property fmtid="{D5CDD505-2E9C-101B-9397-08002B2CF9AE}" pid="13" name="Kilde2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SchultzId">
    <vt:lpwstr/>
  </property>
  <property fmtid="{D5CDD505-2E9C-101B-9397-08002B2CF9AE}" pid="19" name="Arrangoer">
    <vt:lpwstr/>
  </property>
  <property fmtid="{D5CDD505-2E9C-101B-9397-08002B2CF9AE}" pid="20" name="Hovedomraade">
    <vt:lpwstr/>
  </property>
  <property fmtid="{D5CDD505-2E9C-101B-9397-08002B2CF9AE}" pid="21" name="Titel2">
    <vt:lpwstr/>
  </property>
  <property fmtid="{D5CDD505-2E9C-101B-9397-08002B2CF9AE}" pid="22" name="Omraade">
    <vt:lpwstr/>
  </property>
  <property fmtid="{D5CDD505-2E9C-101B-9397-08002B2CF9AE}" pid="23" name="Shortname">
    <vt:lpwstr/>
  </property>
  <property fmtid="{D5CDD505-2E9C-101B-9397-08002B2CF9AE}" pid="24" name="display_urn">
    <vt:lpwstr>Jacob Krog (001jkg)</vt:lpwstr>
  </property>
  <property fmtid="{D5CDD505-2E9C-101B-9397-08002B2CF9AE}" pid="25" name="URL">
    <vt:lpwstr/>
  </property>
  <property fmtid="{D5CDD505-2E9C-101B-9397-08002B2CF9AE}" pid="26" name="Maalrettet">
    <vt:lpwstr/>
  </property>
  <property fmtid="{D5CDD505-2E9C-101B-9397-08002B2CF9AE}" pid="27" name="xd_Signature">
    <vt:bool>false</vt:bool>
  </property>
  <property fmtid="{D5CDD505-2E9C-101B-9397-08002B2CF9AE}" pid="28" name="Type">
    <vt:lpwstr/>
  </property>
  <property fmtid="{D5CDD505-2E9C-101B-9397-08002B2CF9AE}" pid="30" name="Tilmelding">
    <vt:lpwstr/>
  </property>
  <property fmtid="{D5CDD505-2E9C-101B-9397-08002B2CF9AE}" pid="31" name="SummaryLinks2">
    <vt:lpwstr/>
  </property>
  <property fmtid="{D5CDD505-2E9C-101B-9397-08002B2CF9AE}" pid="32" name="Aar">
    <vt:lpwstr/>
  </property>
  <property fmtid="{D5CDD505-2E9C-101B-9397-08002B2CF9AE}" pid="33" name="Menupunkter">
    <vt:lpwstr/>
  </property>
  <property fmtid="{D5CDD505-2E9C-101B-9397-08002B2CF9AE}" pid="34" name="Sted">
    <vt:lpwstr/>
  </property>
  <property fmtid="{D5CDD505-2E9C-101B-9397-08002B2CF9AE}" pid="35" name="P0">
    <vt:bool>false</vt:bool>
  </property>
  <property fmtid="{D5CDD505-2E9C-101B-9397-08002B2CF9AE}" pid="36" name="Placering">
    <vt:lpwstr/>
  </property>
  <property fmtid="{D5CDD505-2E9C-101B-9397-08002B2CF9AE}" pid="37" name="Callname">
    <vt:lpwstr/>
  </property>
</Properties>
</file>